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3 aspectos de innovación tecnológica que debería tener la banca digital que usas  </w:t>
      </w:r>
    </w:p>
    <w:p w:rsidR="00000000" w:rsidDel="00000000" w:rsidP="00000000" w:rsidRDefault="00000000" w:rsidRPr="00000000" w14:paraId="00000002">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Además de las funciones básicas, las bancas digitales líderes ofrecen una amplia gama de características que mejoran la experiencia de usuario al máximo. </w:t>
      </w:r>
    </w:p>
    <w:p w:rsidR="00000000" w:rsidDel="00000000" w:rsidP="00000000" w:rsidRDefault="00000000" w:rsidRPr="00000000" w14:paraId="00000003">
      <w:pPr>
        <w:numPr>
          <w:ilvl w:val="0"/>
          <w:numId w:val="1"/>
        </w:numPr>
        <w:ind w:left="720" w:hanging="360"/>
        <w:jc w:val="both"/>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México acumula más de 60 millones de usuarios de banca web y más de 50 millones en banca móvil: CONDUSEF. </w:t>
      </w:r>
    </w:p>
    <w:p w:rsidR="00000000" w:rsidDel="00000000" w:rsidP="00000000" w:rsidRDefault="00000000" w:rsidRPr="00000000" w14:paraId="00000004">
      <w:pPr>
        <w:ind w:left="720" w:firstLine="0"/>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23 de febrero de 2022.</w:t>
      </w:r>
      <w:r w:rsidDel="00000000" w:rsidR="00000000" w:rsidRPr="00000000">
        <w:rPr>
          <w:rFonts w:ascii="Montserrat" w:cs="Montserrat" w:eastAsia="Montserrat" w:hAnsi="Montserrat"/>
          <w:sz w:val="20"/>
          <w:szCs w:val="20"/>
          <w:rtl w:val="0"/>
        </w:rPr>
        <w:t xml:space="preserve">- Usar plataformas de</w:t>
      </w:r>
      <w:r w:rsidDel="00000000" w:rsidR="00000000" w:rsidRPr="00000000">
        <w:rPr>
          <w:rFonts w:ascii="Montserrat" w:cs="Montserrat" w:eastAsia="Montserrat" w:hAnsi="Montserrat"/>
          <w:b w:val="1"/>
          <w:sz w:val="20"/>
          <w:szCs w:val="20"/>
          <w:rtl w:val="0"/>
        </w:rPr>
        <w:t xml:space="preserve"> banca por internet o por aplicaciones desde la comodidad del hogar </w:t>
      </w:r>
      <w:r w:rsidDel="00000000" w:rsidR="00000000" w:rsidRPr="00000000">
        <w:rPr>
          <w:rFonts w:ascii="Montserrat" w:cs="Montserrat" w:eastAsia="Montserrat" w:hAnsi="Montserrat"/>
          <w:sz w:val="20"/>
          <w:szCs w:val="20"/>
          <w:rtl w:val="0"/>
        </w:rPr>
        <w:t xml:space="preserve">otorga numerosos beneficios. El servicio contribuye a que las personas autogestionen sus cuentas, servicios y productos financieros en cuestión de segundos. </w:t>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Sin embargo, las funciones que antes se calificaban como innovaciones: transferencias interbancarias o consultas de movimientos, se están convirtiendo en el estándar. </w:t>
      </w:r>
      <w:r w:rsidDel="00000000" w:rsidR="00000000" w:rsidRPr="00000000">
        <w:rPr>
          <w:rFonts w:ascii="Montserrat" w:cs="Montserrat" w:eastAsia="Montserrat" w:hAnsi="Montserrat"/>
          <w:b w:val="1"/>
          <w:sz w:val="20"/>
          <w:szCs w:val="20"/>
          <w:rtl w:val="0"/>
        </w:rPr>
        <w:t xml:space="preserve">¿Qué nuevas características debe poseer un servicio de banca web o móvil para considerarse moderno y convencer a los usuarios?</w:t>
      </w:r>
      <w:r w:rsidDel="00000000" w:rsidR="00000000" w:rsidRPr="00000000">
        <w:rPr>
          <w:rFonts w:ascii="Montserrat" w:cs="Montserrat" w:eastAsia="Montserrat" w:hAnsi="Montserrat"/>
          <w:sz w:val="20"/>
          <w:szCs w:val="20"/>
          <w:rtl w:val="0"/>
        </w:rPr>
        <w:t xml:space="preserve"> Estas son las más importantes: </w:t>
      </w:r>
    </w:p>
    <w:p w:rsidR="00000000" w:rsidDel="00000000" w:rsidP="00000000" w:rsidRDefault="00000000" w:rsidRPr="00000000" w14:paraId="0000000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Acceso omnicanal.</w:t>
      </w:r>
      <w:r w:rsidDel="00000000" w:rsidR="00000000" w:rsidRPr="00000000">
        <w:rPr>
          <w:rFonts w:ascii="Montserrat" w:cs="Montserrat" w:eastAsia="Montserrat" w:hAnsi="Montserrat"/>
          <w:sz w:val="20"/>
          <w:szCs w:val="20"/>
          <w:rtl w:val="0"/>
        </w:rPr>
        <w:t xml:space="preserve"> El cliente debe contar con la opción de ingresar a sus cuentas desde cualquier dispositivo que quiera; ya sea una computadora, laptop, tablet o smartphone. Se deben añadir múltiples puntos de acceso que operen con la misma rapidez y accesibilidad en cada uno de ellos. </w:t>
      </w:r>
    </w:p>
    <w:p w:rsidR="00000000" w:rsidDel="00000000" w:rsidP="00000000" w:rsidRDefault="00000000" w:rsidRPr="00000000" w14:paraId="0000000A">
      <w:pPr>
        <w:numPr>
          <w:ilvl w:val="0"/>
          <w:numId w:val="2"/>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Estabilidad.</w:t>
      </w:r>
      <w:r w:rsidDel="00000000" w:rsidR="00000000" w:rsidRPr="00000000">
        <w:rPr>
          <w:rFonts w:ascii="Montserrat" w:cs="Montserrat" w:eastAsia="Montserrat" w:hAnsi="Montserrat"/>
          <w:sz w:val="20"/>
          <w:szCs w:val="20"/>
          <w:rtl w:val="0"/>
        </w:rPr>
        <w:t xml:space="preserve"> Una de las cosas más molestas son notificaciones como “Por el momento el sistema no está disponible'' o “Inténtelo más tarde”. El que millones de usuarios puedan realizar acciones de manera simultánea sin interrupciones, requiere una infraestructura de banca digital considerablemente eficiente. </w:t>
      </w:r>
    </w:p>
    <w:p w:rsidR="00000000" w:rsidDel="00000000" w:rsidP="00000000" w:rsidRDefault="00000000" w:rsidRPr="00000000" w14:paraId="0000000B">
      <w:pPr>
        <w:numPr>
          <w:ilvl w:val="0"/>
          <w:numId w:val="2"/>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Autogestión. </w:t>
      </w:r>
      <w:r w:rsidDel="00000000" w:rsidR="00000000" w:rsidRPr="00000000">
        <w:rPr>
          <w:rFonts w:ascii="Montserrat" w:cs="Montserrat" w:eastAsia="Montserrat" w:hAnsi="Montserrat"/>
          <w:sz w:val="20"/>
          <w:szCs w:val="20"/>
          <w:rtl w:val="0"/>
        </w:rPr>
        <w:t xml:space="preserve">Una banca digital actualizada sirve para algo más que para consultar los saldos. Los </w:t>
      </w:r>
      <w:r w:rsidDel="00000000" w:rsidR="00000000" w:rsidRPr="00000000">
        <w:rPr>
          <w:rFonts w:ascii="Montserrat" w:cs="Montserrat" w:eastAsia="Montserrat" w:hAnsi="Montserrat"/>
          <w:b w:val="1"/>
          <w:sz w:val="20"/>
          <w:szCs w:val="20"/>
          <w:rtl w:val="0"/>
        </w:rPr>
        <w:t xml:space="preserve">mejores servicios de banca digital</w:t>
      </w:r>
      <w:r w:rsidDel="00000000" w:rsidR="00000000" w:rsidRPr="00000000">
        <w:rPr>
          <w:rFonts w:ascii="Montserrat" w:cs="Montserrat" w:eastAsia="Montserrat" w:hAnsi="Montserrat"/>
          <w:sz w:val="20"/>
          <w:szCs w:val="20"/>
          <w:rtl w:val="0"/>
        </w:rPr>
        <w:t xml:space="preserve"> también son de autoservicio, al ayudar a que el cuentahabiente resuelva sus dudas proactivamente y maneje sus activos con la mínima intervención, satisfaciendo las exigencias del usuario. </w:t>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La oportunidad del éxito </w:t>
      </w:r>
    </w:p>
    <w:p w:rsidR="00000000" w:rsidDel="00000000" w:rsidP="00000000" w:rsidRDefault="00000000" w:rsidRPr="00000000" w14:paraId="0000000E">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w:t>
      </w:r>
      <w:r w:rsidDel="00000000" w:rsidR="00000000" w:rsidRPr="00000000">
        <w:rPr>
          <w:rFonts w:ascii="Montserrat" w:cs="Montserrat" w:eastAsia="Montserrat" w:hAnsi="Montserrat"/>
          <w:b w:val="1"/>
          <w:sz w:val="20"/>
          <w:szCs w:val="20"/>
          <w:rtl w:val="0"/>
        </w:rPr>
        <w:t xml:space="preserve">beneficios de usar banca digital</w:t>
      </w:r>
      <w:r w:rsidDel="00000000" w:rsidR="00000000" w:rsidRPr="00000000">
        <w:rPr>
          <w:rFonts w:ascii="Montserrat" w:cs="Montserrat" w:eastAsia="Montserrat" w:hAnsi="Montserrat"/>
          <w:sz w:val="20"/>
          <w:szCs w:val="20"/>
          <w:rtl w:val="0"/>
        </w:rPr>
        <w:t xml:space="preserve"> avanzaron rápidamente en los últimos años, lo que empujó a que cada vez más personas la utilicen. En 2021, las consultoras American Market Intelligence y Backbase informaron que en América Latina</w:t>
      </w:r>
      <w:r w:rsidDel="00000000" w:rsidR="00000000" w:rsidRPr="00000000">
        <w:rPr>
          <w:rFonts w:ascii="Montserrat" w:cs="Montserrat" w:eastAsia="Montserrat" w:hAnsi="Montserrat"/>
          <w:b w:val="1"/>
          <w:sz w:val="20"/>
          <w:szCs w:val="20"/>
          <w:rtl w:val="0"/>
        </w:rPr>
        <w:t xml:space="preserve"> </w:t>
      </w:r>
      <w:hyperlink r:id="rId7">
        <w:r w:rsidDel="00000000" w:rsidR="00000000" w:rsidRPr="00000000">
          <w:rPr>
            <w:rFonts w:ascii="Montserrat" w:cs="Montserrat" w:eastAsia="Montserrat" w:hAnsi="Montserrat"/>
            <w:b w:val="1"/>
            <w:color w:val="1155cc"/>
            <w:sz w:val="20"/>
            <w:szCs w:val="20"/>
            <w:u w:val="single"/>
            <w:rtl w:val="0"/>
          </w:rPr>
          <w:t xml:space="preserve">el 98% de la población que abrió una cuenta usan plataformas digitales de su institución bancaria</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México, de acuerdo a la Comisión Nacional para la Protección y Defensa de los Usuarios de Servicios Financieros (CONDUSEF) existen</w:t>
      </w:r>
      <w:r w:rsidDel="00000000" w:rsidR="00000000" w:rsidRPr="00000000">
        <w:rPr>
          <w:rFonts w:ascii="Montserrat" w:cs="Montserrat" w:eastAsia="Montserrat" w:hAnsi="Montserrat"/>
          <w:b w:val="1"/>
          <w:sz w:val="20"/>
          <w:szCs w:val="20"/>
          <w:rtl w:val="0"/>
        </w:rPr>
        <w:t xml:space="preserve"> </w:t>
      </w:r>
      <w:hyperlink r:id="rId8">
        <w:r w:rsidDel="00000000" w:rsidR="00000000" w:rsidRPr="00000000">
          <w:rPr>
            <w:rFonts w:ascii="Montserrat" w:cs="Montserrat" w:eastAsia="Montserrat" w:hAnsi="Montserrat"/>
            <w:b w:val="1"/>
            <w:color w:val="1155cc"/>
            <w:sz w:val="20"/>
            <w:szCs w:val="20"/>
            <w:u w:val="single"/>
            <w:rtl w:val="0"/>
          </w:rPr>
          <w:t xml:space="preserve">62 millones de usuarios de banca por internet y 58 millones de contratos de banca móvil</w:t>
        </w:r>
      </w:hyperlink>
      <w:r w:rsidDel="00000000" w:rsidR="00000000" w:rsidRPr="00000000">
        <w:rPr>
          <w:rFonts w:ascii="Montserrat" w:cs="Montserrat" w:eastAsia="Montserrat" w:hAnsi="Montserrat"/>
          <w:sz w:val="20"/>
          <w:szCs w:val="20"/>
          <w:rtl w:val="0"/>
        </w:rPr>
        <w:t xml:space="preserve">. Ante tales datos es normal que los bancos quieran crecer su base de clientes mediante la actualización y digitalización de su servicio. </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banca digital bien diseñada, con alto soporte, eficiente y simple de usar puede asegurar a los bancos ser líderes de mercado. La innovación y tecnología siempre han influido en el objetivo de brindar una experiencia bancaria de alta categoría”, mencionó René Salazar, Head of Banking Solutions para Latinoamérica en Fiserv, líder en tecnología financiera y de procesamiento de pagos.</w:t>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bancos con la disposición estratégica para actualizar o remodelar sus plataformas de banca digital, son los primeros que brindarán nuevos elementos que el usuario de hoy demanda. Actualmente no todos tienen las capacidades tecnológicas para lograrlo, sin embargo, existen aliados y expertos en el desarrollo de plataformas que elevan la calidad en la experiencia de los usuarios,</w:t>
      </w:r>
      <w:r w:rsidDel="00000000" w:rsidR="00000000" w:rsidRPr="00000000">
        <w:rPr>
          <w:rFonts w:ascii="Montserrat" w:cs="Montserrat" w:eastAsia="Montserrat" w:hAnsi="Montserrat"/>
          <w:sz w:val="20"/>
          <w:szCs w:val="20"/>
          <w:highlight w:val="white"/>
          <w:rtl w:val="0"/>
        </w:rPr>
        <w:t xml:space="preserve"> </w:t>
      </w:r>
      <w:r w:rsidDel="00000000" w:rsidR="00000000" w:rsidRPr="00000000">
        <w:rPr>
          <w:rFonts w:ascii="Montserrat" w:cs="Montserrat" w:eastAsia="Montserrat" w:hAnsi="Montserrat"/>
          <w:sz w:val="20"/>
          <w:szCs w:val="20"/>
          <w:rtl w:val="0"/>
        </w:rPr>
        <w:t xml:space="preserve">destaca Salazar. </w:t>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fácil uso, intuitiva y de autogestión, DigitalAccess es la solución omnicanal de banca digital de Fiserv que permite que las entidades bancarias y financieras cuenten con tecnología de vanguardia para mejorar la experiencia de uso. También soporta millones de sesiones a la vez, lo que asegura que la navegación, transferencias, depósitos y pagos serán rápidos y seguros.  </w:t>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“Ya sea que un banco, caja de ahorro, cooperativa de crédito, retail u organización financiera quiera implementar desde cero un servicio de banca digital de última generación, DigitalAccess lo facilita al instante. Además, los usuarios consultarán el estatus de su dinero desde cualquier dispositivo electrónico de forma segura”, agregó el directivo.</w:t>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funciones básicas de un servicio de banca digital se verán superadas en medida que las necesidades de los usuarios las demanden. La gran ventaja es que las soluciones tecnológicas abren la posibilidad de aplicar una infraestructura web y móvil que cumplan las condiciones y expectativas del mercado.  </w:t>
      </w:r>
    </w:p>
    <w:p w:rsidR="00000000" w:rsidDel="00000000" w:rsidP="00000000" w:rsidRDefault="00000000" w:rsidRPr="00000000" w14:paraId="0000001C">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D">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b w:val="1"/>
          <w:sz w:val="18"/>
          <w:szCs w:val="18"/>
          <w:rtl w:val="0"/>
        </w:rPr>
        <w:t xml:space="preserve">Acerca de Fiserv</w:t>
      </w: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aspira a mover dinero e información en una manera que mueva al mundo. Como un líder mundial en pagos y tecnología financiera, la compañía ayuda a los clientes a lograr los mejores resultados a través de un compromiso con la innovación y la excelencia en áreas que incluyen procesamiento de cuentas y soluciones de banca digital; procesamiento emisor de tarjetas y servicios de red; pagos; comercio electrónico; la adquirencia y procesamiento de comercios; y la solución de punto de venta basada en la nube Clover®. Fiserv es miembro del Índice S&amp;P500® y ha sido reconocida como una de las Compañías Más Admiradas del Mundo de FORTUNE® en 11 de los pasados 14 años. Visite </w:t>
      </w:r>
      <w:hyperlink r:id="rId9">
        <w:r w:rsidDel="00000000" w:rsidR="00000000" w:rsidRPr="00000000">
          <w:rPr>
            <w:rFonts w:ascii="Montserrat" w:cs="Montserrat" w:eastAsia="Montserrat" w:hAnsi="Montserrat"/>
            <w:color w:val="1155cc"/>
            <w:sz w:val="20"/>
            <w:szCs w:val="20"/>
            <w:highlight w:val="white"/>
            <w:u w:val="single"/>
            <w:rtl w:val="0"/>
          </w:rPr>
          <w:t xml:space="preserve">fiserv.com</w:t>
        </w:r>
      </w:hyperlink>
      <w:r w:rsidDel="00000000" w:rsidR="00000000" w:rsidRPr="00000000">
        <w:rPr>
          <w:rFonts w:ascii="Montserrat" w:cs="Montserrat" w:eastAsia="Montserrat" w:hAnsi="Montserrat"/>
          <w:sz w:val="20"/>
          <w:szCs w:val="20"/>
          <w:highlight w:val="white"/>
          <w:rtl w:val="0"/>
        </w:rPr>
        <w:t xml:space="preserve"> y síganos en las redes sociales para obtener más información y las últimas noticias de la compañía</w:t>
      </w:r>
    </w:p>
    <w:p w:rsidR="00000000" w:rsidDel="00000000" w:rsidP="00000000" w:rsidRDefault="00000000" w:rsidRPr="00000000" w14:paraId="00000021">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4">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5">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6">
      <w:pPr>
        <w:numPr>
          <w:ilvl w:val="0"/>
          <w:numId w:val="3"/>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3">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9">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2B">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tab/>
        <w:tab/>
      </w:r>
    </w:p>
    <w:p w:rsidR="00000000" w:rsidDel="00000000" w:rsidP="00000000" w:rsidRDefault="00000000" w:rsidRPr="00000000" w14:paraId="0000002C">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2D">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E">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2F">
      <w:pPr>
        <w:jc w:val="both"/>
        <w:rPr>
          <w:rFonts w:ascii="Montserrat" w:cs="Montserrat" w:eastAsia="Montserrat" w:hAnsi="Montserrat"/>
          <w:sz w:val="18"/>
          <w:szCs w:val="18"/>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2">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iservmexico/" TargetMode="External"/><Relationship Id="rId10" Type="http://schemas.openxmlformats.org/officeDocument/2006/relationships/hyperlink" Target="https://www.facebook.com/fiservmexico/?epa=SEARCH_BOX" TargetMode="External"/><Relationship Id="rId13" Type="http://schemas.openxmlformats.org/officeDocument/2006/relationships/hyperlink" Target="https://merchants.fiserv.com/es-mx/" TargetMode="External"/><Relationship Id="rId12" Type="http://schemas.openxmlformats.org/officeDocument/2006/relationships/hyperlink" Target="https://www.youtube.com/channel/UCoWqenelNyhJZc_fj3M09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serv.com/" TargetMode="External"/><Relationship Id="rId15" Type="http://schemas.openxmlformats.org/officeDocument/2006/relationships/header" Target="header1.xml"/><Relationship Id="rId14" Type="http://schemas.openxmlformats.org/officeDocument/2006/relationships/hyperlink" Target="mailto:ameyalli.sampe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ela.org/es/prensa/servicio-informativo/20211027/si/76567/en-la-crisis-del-covid-4-de-cada-10-personas-abrio-una-cuenta-bancaria-en-al" TargetMode="External"/><Relationship Id="rId8" Type="http://schemas.openxmlformats.org/officeDocument/2006/relationships/hyperlink" Target="https://www.condusef.gob.mx/index.php/oficinas-de-atencion?p=contenido&amp;idc=1812&amp;idcat=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7QnqU3n30bWDQv++H614Al7VLw==">AMUW2mW+TZw49GFTWdbow9AGa6p/PnxEPAr8dQNgwNR/L0cec31ObJObSmLn5dU+y3nfRRlYy6na8WuYo4jOESxEItVsNslwPtXpmJXbI1Z6hh9jey2JOaI=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2022-02-08T15:53:00Z</dcterms:created>
</cp:coreProperties>
</file>